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0B" w:rsidRDefault="00E5050B">
      <w:pPr>
        <w:widowControl/>
      </w:pPr>
    </w:p>
    <w:tbl>
      <w:tblPr>
        <w:tblStyle w:val="ab"/>
        <w:tblW w:w="0" w:type="auto"/>
        <w:tblLook w:val="04A0"/>
      </w:tblPr>
      <w:tblGrid>
        <w:gridCol w:w="5414"/>
        <w:gridCol w:w="5414"/>
      </w:tblGrid>
      <w:tr w:rsidR="00087A30" w:rsidTr="00087A30">
        <w:tc>
          <w:tcPr>
            <w:tcW w:w="5414" w:type="dxa"/>
          </w:tcPr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內容簡介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 xml:space="preserve">　　本書主要針對非會計系與初學會計之讀者所編撰，內容配合趨勢提供最新資訊，重視讀者觀念的建立，文中簡單清楚的例題可協助讀者理解會計理論，書後更收錄丙級會計事務技術士之技能檢定考試題庫，便於讀者複習與掌握學習要點。</w:t>
            </w:r>
          </w:p>
          <w:p w:rsidR="00087A30" w:rsidRDefault="00087A30" w:rsidP="00C71863">
            <w:pPr>
              <w:snapToGrid w:val="0"/>
              <w:spacing w:line="240" w:lineRule="exact"/>
            </w:pP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本書特色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t>1.本書主要針對非會計本科系之讀者，透過完整架構闡述會計學概要，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t>2.文中穿插「會計一點靈」及「補充說明」，整理該章重點，提高學習效率。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t>3.藉由「選擇題」、「問答題」、「計算題」等多種不同類型習題，檢視學習效果。</w:t>
            </w:r>
          </w:p>
          <w:p w:rsidR="00087A30" w:rsidRDefault="00087A30" w:rsidP="003C076A">
            <w:pPr>
              <w:snapToGrid w:val="0"/>
              <w:spacing w:line="240" w:lineRule="exact"/>
            </w:pPr>
            <w:r>
              <w:t>4.全書包含「丙檢會計學科試題暨解答」，務求理論與實務兼具。</w:t>
            </w:r>
          </w:p>
        </w:tc>
        <w:tc>
          <w:tcPr>
            <w:tcW w:w="5414" w:type="dxa"/>
          </w:tcPr>
          <w:p w:rsidR="00087A30" w:rsidRDefault="00087A30" w:rsidP="00C71863">
            <w:pPr>
              <w:snapToGrid w:val="0"/>
              <w:spacing w:line="240" w:lineRule="exact"/>
            </w:pPr>
          </w:p>
        </w:tc>
      </w:tr>
      <w:tr w:rsidR="00087A30" w:rsidTr="00087A30">
        <w:tc>
          <w:tcPr>
            <w:tcW w:w="5414" w:type="dxa"/>
          </w:tcPr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目錄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第一章</w:t>
            </w:r>
            <w:r>
              <w:t xml:space="preserve"> 會計之基本概念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一、會計之意義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二、會計之程序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三、會計資訊之使用者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四、會計人從業之相關領域</w:t>
            </w:r>
          </w:p>
          <w:p w:rsidR="00087A30" w:rsidRDefault="00087A30" w:rsidP="00C71863">
            <w:pPr>
              <w:snapToGrid w:val="0"/>
              <w:spacing w:line="240" w:lineRule="exact"/>
            </w:pP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第二章</w:t>
            </w:r>
            <w:r>
              <w:t xml:space="preserve"> 會計之基本假設與原則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一、會計之基本假設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二、會計之則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三、會計基礎之介紹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四、會計資訊的品質特性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五、會計執行上之限制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六、臺灣會計專業團體</w:t>
            </w:r>
          </w:p>
          <w:p w:rsidR="00087A30" w:rsidRDefault="00087A30" w:rsidP="00C71863">
            <w:pPr>
              <w:snapToGrid w:val="0"/>
              <w:spacing w:line="240" w:lineRule="exact"/>
            </w:pP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第三章</w:t>
            </w:r>
            <w:r>
              <w:t xml:space="preserve"> 會計交易之入門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一、會計交易之意義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二、會計恆等式之介紹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三、會計要素與會計項目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四、</w:t>
            </w:r>
            <w:r>
              <w:t>T字帳與借貸法則</w:t>
            </w:r>
          </w:p>
          <w:p w:rsidR="00087A30" w:rsidRDefault="00087A30" w:rsidP="00C71863">
            <w:pPr>
              <w:snapToGrid w:val="0"/>
              <w:spacing w:line="240" w:lineRule="exact"/>
            </w:pP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第四章</w:t>
            </w:r>
            <w:r>
              <w:t xml:space="preserve"> 會計交易之作業程序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一、會計循環之意義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二、會計憑證概要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三、日記簿概要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四、分類帳概要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五、試算表概要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六、調整分錄概要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七、結帳分錄概要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八、更正分錄概要</w:t>
            </w:r>
          </w:p>
          <w:p w:rsidR="00087A30" w:rsidRDefault="00087A30" w:rsidP="00C71863">
            <w:pPr>
              <w:snapToGrid w:val="0"/>
              <w:spacing w:line="240" w:lineRule="exact"/>
            </w:pP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第五章</w:t>
            </w:r>
            <w:r>
              <w:t xml:space="preserve"> 財務報表之深入解析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一、基本分析－閱讀四大報表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二、財務報表資訊之取得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三、財務狀況表深入解析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四、綜合損益表深入解析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五、權益變動表深入解析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六、現金流量表深入解析</w:t>
            </w:r>
          </w:p>
          <w:p w:rsidR="00087A30" w:rsidRDefault="00087A30" w:rsidP="00C71863">
            <w:pPr>
              <w:snapToGrid w:val="0"/>
              <w:spacing w:line="240" w:lineRule="exact"/>
            </w:pP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附錄一</w:t>
            </w:r>
            <w:r>
              <w:t xml:space="preserve"> 各章習題解答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附錄二</w:t>
            </w:r>
            <w:r>
              <w:t xml:space="preserve"> 會計事務丙級學科題庫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附錄三</w:t>
            </w:r>
            <w:r>
              <w:t xml:space="preserve"> 會計事務丙級學科題庫解答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參考文獻</w:t>
            </w:r>
          </w:p>
          <w:p w:rsidR="00087A30" w:rsidRDefault="00087A30" w:rsidP="00C71863">
            <w:pPr>
              <w:snapToGrid w:val="0"/>
              <w:spacing w:line="240" w:lineRule="exact"/>
            </w:pPr>
            <w:r>
              <w:rPr>
                <w:rFonts w:hint="eastAsia"/>
              </w:rPr>
              <w:t>學後評量</w:t>
            </w:r>
            <w:r>
              <w:t>(壓撕線)</w:t>
            </w:r>
          </w:p>
          <w:p w:rsidR="00087A30" w:rsidRDefault="00087A30" w:rsidP="00C71863">
            <w:pPr>
              <w:snapToGrid w:val="0"/>
              <w:spacing w:line="240" w:lineRule="exact"/>
            </w:pPr>
          </w:p>
        </w:tc>
        <w:tc>
          <w:tcPr>
            <w:tcW w:w="5414" w:type="dxa"/>
          </w:tcPr>
          <w:p w:rsidR="00087A30" w:rsidRDefault="00087A30" w:rsidP="00C71863">
            <w:pPr>
              <w:snapToGrid w:val="0"/>
              <w:spacing w:line="240" w:lineRule="exact"/>
            </w:pPr>
          </w:p>
        </w:tc>
      </w:tr>
    </w:tbl>
    <w:p w:rsidR="00087A30" w:rsidRDefault="00087A30" w:rsidP="00E5050B"/>
    <w:p w:rsidR="00E5050B" w:rsidRDefault="00E5050B" w:rsidP="00E5050B">
      <w:r>
        <w:rPr>
          <w:rFonts w:hint="eastAsia"/>
        </w:rPr>
        <w:lastRenderedPageBreak/>
        <w:t>●</w:t>
      </w:r>
      <w:r>
        <w:t xml:space="preserve"> 第一章 會計基本概念</w:t>
      </w:r>
    </w:p>
    <w:p w:rsidR="00E5050B" w:rsidRDefault="00E5050B" w:rsidP="00E5050B">
      <w:r>
        <w:t>會計目的</w:t>
      </w:r>
    </w:p>
    <w:p w:rsidR="00E5050B" w:rsidRDefault="00E5050B" w:rsidP="00E5050B">
      <w:r>
        <w:rPr>
          <w:rFonts w:hint="eastAsia"/>
        </w:rPr>
        <w:t>◎</w:t>
      </w:r>
      <w:r>
        <w:t xml:space="preserve"> 會計恆等式</w:t>
      </w:r>
    </w:p>
    <w:p w:rsidR="00E5050B" w:rsidRDefault="00E5050B" w:rsidP="00E5050B">
      <w:r>
        <w:rPr>
          <w:rFonts w:hint="eastAsia"/>
        </w:rPr>
        <w:t>◎</w:t>
      </w:r>
      <w:r>
        <w:t xml:space="preserve"> 借貸法則</w:t>
      </w:r>
    </w:p>
    <w:p w:rsidR="00E5050B" w:rsidRDefault="00E5050B" w:rsidP="00E5050B">
      <w:r>
        <w:rPr>
          <w:rFonts w:hint="eastAsia"/>
        </w:rPr>
        <w:t>◎</w:t>
      </w:r>
      <w:r>
        <w:t xml:space="preserve"> 會計科目</w:t>
      </w:r>
    </w:p>
    <w:p w:rsidR="00E5050B" w:rsidRDefault="00E5050B" w:rsidP="00E5050B">
      <w:r>
        <w:rPr>
          <w:rFonts w:hint="eastAsia"/>
        </w:rPr>
        <w:t>●</w:t>
      </w:r>
      <w:r>
        <w:t xml:space="preserve"> 第二章 會計理論與主要財務報表</w:t>
      </w:r>
    </w:p>
    <w:p w:rsidR="00E5050B" w:rsidRDefault="00E5050B" w:rsidP="00E5050B">
      <w:r>
        <w:rPr>
          <w:rFonts w:hint="eastAsia"/>
        </w:rPr>
        <w:t>●</w:t>
      </w:r>
      <w:r>
        <w:t xml:space="preserve"> 第三章 會計處理六大程序（上）</w:t>
      </w:r>
    </w:p>
    <w:p w:rsidR="00E5050B" w:rsidRDefault="00E5050B" w:rsidP="00E5050B">
      <w:r>
        <w:rPr>
          <w:rFonts w:hint="eastAsia"/>
        </w:rPr>
        <w:t>●</w:t>
      </w:r>
      <w:r>
        <w:t xml:space="preserve"> 第四章 會計處理六大程序（下）</w:t>
      </w:r>
    </w:p>
    <w:p w:rsidR="00D21BEA" w:rsidRDefault="00E5050B" w:rsidP="00E5050B">
      <w:r>
        <w:rPr>
          <w:rFonts w:hint="eastAsia"/>
        </w:rPr>
        <w:t>●</w:t>
      </w:r>
      <w:r>
        <w:t xml:space="preserve"> 第五章 買賣業會計</w:t>
      </w:r>
    </w:p>
    <w:p w:rsidR="00BE2119" w:rsidRDefault="00BE2119" w:rsidP="00D21BEA">
      <w:pPr>
        <w:widowControl/>
      </w:pPr>
    </w:p>
    <w:p w:rsidR="00D21BEA" w:rsidRDefault="00D21BEA" w:rsidP="00D21BEA">
      <w:pPr>
        <w:widowControl/>
      </w:pPr>
      <w:r>
        <w:rPr>
          <w:rFonts w:hint="eastAsia"/>
        </w:rPr>
        <w:t>課程目標／課程大綱/</w:t>
      </w:r>
      <w:r w:rsidRPr="00D21BEA">
        <w:rPr>
          <w:rFonts w:hint="eastAsia"/>
        </w:rPr>
        <w:t>研習時數：十二小時</w:t>
      </w:r>
    </w:p>
    <w:p w:rsidR="00D21BEA" w:rsidRDefault="00D21BEA" w:rsidP="00D21BEA">
      <w:pPr>
        <w:widowControl/>
      </w:pPr>
      <w:r>
        <w:rPr>
          <w:rFonts w:hint="eastAsia"/>
        </w:rPr>
        <w:t>瞭解會計基本慣例與原則。</w:t>
      </w:r>
    </w:p>
    <w:p w:rsidR="00D21BEA" w:rsidRDefault="00D21BEA" w:rsidP="00D21BEA">
      <w:pPr>
        <w:widowControl/>
      </w:pPr>
      <w:r>
        <w:rPr>
          <w:rFonts w:hint="eastAsia"/>
        </w:rPr>
        <w:t>說明會計之基本概念與會計憑證。</w:t>
      </w:r>
    </w:p>
    <w:p w:rsidR="00D21BEA" w:rsidRDefault="00D21BEA" w:rsidP="00D21BEA">
      <w:pPr>
        <w:widowControl/>
      </w:pPr>
      <w:r>
        <w:rPr>
          <w:rFonts w:hint="eastAsia"/>
        </w:rPr>
        <w:t>介紹平時會計處理程序：分錄、過帳、試算。</w:t>
      </w:r>
    </w:p>
    <w:p w:rsidR="00D21BEA" w:rsidRDefault="00D21BEA" w:rsidP="00D21BEA">
      <w:pPr>
        <w:widowControl/>
      </w:pPr>
      <w:r>
        <w:rPr>
          <w:rFonts w:hint="eastAsia"/>
        </w:rPr>
        <w:t>介紹期末會計處理程序：調整、結帳、編表。</w:t>
      </w:r>
    </w:p>
    <w:p w:rsidR="00D21BEA" w:rsidRDefault="00D21BEA" w:rsidP="00D21BEA">
      <w:pPr>
        <w:widowControl/>
        <w:rPr>
          <w:rFonts w:hint="eastAsia"/>
        </w:rPr>
      </w:pPr>
      <w:r>
        <w:rPr>
          <w:rFonts w:hint="eastAsia"/>
        </w:rPr>
        <w:t>實例演練。</w:t>
      </w:r>
    </w:p>
    <w:p w:rsidR="00E129D3" w:rsidRDefault="00E129D3" w:rsidP="00D21BEA">
      <w:pPr>
        <w:widowControl/>
        <w:rPr>
          <w:rFonts w:hint="eastAsia"/>
        </w:rPr>
      </w:pPr>
      <w:r>
        <w:rPr>
          <w:rFonts w:hint="eastAsia"/>
        </w:rPr>
        <w:t>----</w:t>
      </w:r>
      <w:r w:rsidR="00CF1138">
        <w:rPr>
          <w:rFonts w:hint="eastAsia"/>
        </w:rPr>
        <w:t>---------------------------------------</w:t>
      </w:r>
    </w:p>
    <w:p w:rsidR="00E129D3" w:rsidRDefault="00E129D3" w:rsidP="00E129D3">
      <w:pPr>
        <w:widowControl/>
      </w:pPr>
      <w:r>
        <w:rPr>
          <w:rFonts w:hint="eastAsia"/>
        </w:rPr>
        <w:t>課程表</w:t>
      </w:r>
    </w:p>
    <w:p w:rsidR="00E129D3" w:rsidRDefault="00E129D3" w:rsidP="00E129D3">
      <w:pPr>
        <w:widowControl/>
      </w:pPr>
      <w:r>
        <w:rPr>
          <w:rFonts w:hint="eastAsia"/>
        </w:rPr>
        <w:t>記帳士會計（導讀一）</w:t>
      </w:r>
    </w:p>
    <w:p w:rsidR="00E129D3" w:rsidRDefault="00E129D3" w:rsidP="00E129D3">
      <w:pPr>
        <w:widowControl/>
      </w:pPr>
      <w:r>
        <w:t>1-1 會計交易</w:t>
      </w:r>
    </w:p>
    <w:p w:rsidR="00E129D3" w:rsidRDefault="00E129D3" w:rsidP="00E129D3">
      <w:pPr>
        <w:widowControl/>
      </w:pPr>
      <w:r>
        <w:t>1-2 會計帳戶</w:t>
      </w:r>
    </w:p>
    <w:p w:rsidR="00E129D3" w:rsidRDefault="00E129D3" w:rsidP="00E129D3">
      <w:pPr>
        <w:widowControl/>
      </w:pPr>
      <w:r>
        <w:t>1-3 會計方程式</w:t>
      </w:r>
    </w:p>
    <w:p w:rsidR="00E129D3" w:rsidRDefault="00E129D3" w:rsidP="00E129D3">
      <w:pPr>
        <w:widowControl/>
      </w:pPr>
      <w:r>
        <w:t>1-4 T字帳、借貸法則與複式簿記</w:t>
      </w:r>
    </w:p>
    <w:p w:rsidR="00E129D3" w:rsidRDefault="00E129D3" w:rsidP="00E129D3">
      <w:pPr>
        <w:widowControl/>
      </w:pPr>
      <w:r>
        <w:rPr>
          <w:rFonts w:hint="eastAsia"/>
        </w:rPr>
        <w:t>記帳士會計學（導讀二）</w:t>
      </w:r>
    </w:p>
    <w:p w:rsidR="00E129D3" w:rsidRDefault="00E129D3" w:rsidP="00E129D3">
      <w:pPr>
        <w:widowControl/>
      </w:pPr>
      <w:r>
        <w:t>2-1 會計循環與帳簿設置</w:t>
      </w:r>
    </w:p>
    <w:p w:rsidR="00E129D3" w:rsidRDefault="00E129D3" w:rsidP="00E129D3">
      <w:pPr>
        <w:widowControl/>
      </w:pPr>
      <w:r>
        <w:t>2-2 分錄</w:t>
      </w:r>
    </w:p>
    <w:p w:rsidR="00E129D3" w:rsidRDefault="00E129D3" w:rsidP="00E129D3">
      <w:pPr>
        <w:widowControl/>
      </w:pPr>
      <w:r>
        <w:t>2-3 過帳與分類帳</w:t>
      </w:r>
    </w:p>
    <w:p w:rsidR="00E129D3" w:rsidRDefault="00E129D3" w:rsidP="00E129D3">
      <w:pPr>
        <w:widowControl/>
      </w:pPr>
      <w:r>
        <w:t>2-4 試算</w:t>
      </w:r>
    </w:p>
    <w:p w:rsidR="00E129D3" w:rsidRDefault="00E129D3" w:rsidP="00E129D3">
      <w:pPr>
        <w:widowControl/>
      </w:pPr>
      <w:r>
        <w:rPr>
          <w:rFonts w:hint="eastAsia"/>
        </w:rPr>
        <w:t>記帳士會計學（導讀三）</w:t>
      </w:r>
    </w:p>
    <w:p w:rsidR="00E129D3" w:rsidRDefault="00E129D3" w:rsidP="00E129D3">
      <w:pPr>
        <w:widowControl/>
      </w:pPr>
      <w:r>
        <w:t>3-1 調整－應計項目之調整</w:t>
      </w:r>
    </w:p>
    <w:p w:rsidR="00E129D3" w:rsidRDefault="00297481" w:rsidP="00E129D3">
      <w:pPr>
        <w:widowControl/>
      </w:pPr>
      <w:r>
        <w:t>3</w:t>
      </w:r>
      <w:r w:rsidR="00E129D3">
        <w:t>-2 調整－遞延項目之調整</w:t>
      </w:r>
    </w:p>
    <w:p w:rsidR="00E129D3" w:rsidRDefault="00E129D3" w:rsidP="00E129D3">
      <w:pPr>
        <w:widowControl/>
      </w:pPr>
      <w:r>
        <w:t>3-3 調整－估計項目之調整</w:t>
      </w:r>
    </w:p>
    <w:p w:rsidR="00E129D3" w:rsidRDefault="00E129D3" w:rsidP="00E129D3">
      <w:pPr>
        <w:widowControl/>
      </w:pPr>
      <w:r>
        <w:t>3-4 迴轉分錄</w:t>
      </w:r>
    </w:p>
    <w:p w:rsidR="00E129D3" w:rsidRDefault="00E129D3" w:rsidP="00E129D3">
      <w:pPr>
        <w:widowControl/>
      </w:pPr>
      <w:r>
        <w:t>3-5 工作底稿</w:t>
      </w:r>
    </w:p>
    <w:p w:rsidR="00E129D3" w:rsidRDefault="00E129D3" w:rsidP="00E129D3">
      <w:pPr>
        <w:widowControl/>
      </w:pPr>
      <w:r>
        <w:t>3-6 結帳</w:t>
      </w:r>
    </w:p>
    <w:sectPr w:rsidR="00E129D3" w:rsidSect="00E9390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629" w:rsidRDefault="00A16629" w:rsidP="00784D13">
      <w:pPr>
        <w:spacing w:line="240" w:lineRule="auto"/>
      </w:pPr>
      <w:r>
        <w:separator/>
      </w:r>
    </w:p>
  </w:endnote>
  <w:endnote w:type="continuationSeparator" w:id="0">
    <w:p w:rsidR="00A16629" w:rsidRDefault="00A16629" w:rsidP="00784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629" w:rsidRDefault="00A16629" w:rsidP="00784D13">
      <w:pPr>
        <w:spacing w:line="240" w:lineRule="auto"/>
      </w:pPr>
      <w:r>
        <w:separator/>
      </w:r>
    </w:p>
  </w:footnote>
  <w:footnote w:type="continuationSeparator" w:id="0">
    <w:p w:rsidR="00A16629" w:rsidRDefault="00A16629" w:rsidP="00784D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EF8"/>
    <w:multiLevelType w:val="multilevel"/>
    <w:tmpl w:val="AA6450F4"/>
    <w:styleLink w:val="3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color w:val="FF000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032D7F66"/>
    <w:multiLevelType w:val="multilevel"/>
    <w:tmpl w:val="3D2E6540"/>
    <w:styleLink w:val="2"/>
    <w:lvl w:ilvl="0">
      <w:start w:val="1"/>
      <w:numFmt w:val="ideographLegalTraditional"/>
      <w:lvlText w:val="%1."/>
      <w:lvlJc w:val="left"/>
      <w:pPr>
        <w:ind w:left="480" w:hanging="480"/>
      </w:pPr>
      <w:rPr>
        <w:rFonts w:eastAsia="微軟正黑體" w:hint="eastAsia"/>
      </w:rPr>
    </w:lvl>
    <w:lvl w:ilvl="1">
      <w:start w:val="1"/>
      <w:numFmt w:val="taiwaneseCountingThousand"/>
      <w:lvlText w:val="%2."/>
      <w:lvlJc w:val="left"/>
      <w:pPr>
        <w:ind w:left="960" w:hanging="480"/>
      </w:pPr>
      <w:rPr>
        <w:rFonts w:eastAsia="微軟正黑體" w:hint="eastAsia"/>
      </w:rPr>
    </w:lvl>
    <w:lvl w:ilvl="2">
      <w:start w:val="1"/>
      <w:numFmt w:val="taiwaneseCountingThousand"/>
      <w:lvlText w:val="(%3)."/>
      <w:lvlJc w:val="left"/>
      <w:pPr>
        <w:ind w:left="1440" w:hanging="480"/>
      </w:pPr>
      <w:rPr>
        <w:rFonts w:eastAsia="微軟正黑體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eastAsia="微軟正黑體" w:hint="eastAsia"/>
      </w:rPr>
    </w:lvl>
    <w:lvl w:ilvl="4">
      <w:start w:val="1"/>
      <w:numFmt w:val="decimal"/>
      <w:lvlText w:val="(%5)."/>
      <w:lvlJc w:val="left"/>
      <w:pPr>
        <w:ind w:left="2400" w:hanging="480"/>
      </w:pPr>
      <w:rPr>
        <w:rFonts w:eastAsia="微軟正黑體" w:hint="eastAsia"/>
      </w:rPr>
    </w:lvl>
    <w:lvl w:ilvl="5">
      <w:start w:val="1"/>
      <w:numFmt w:val="upperRoman"/>
      <w:lvlText w:val="%6."/>
      <w:lvlJc w:val="lef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068B2DD9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209E11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b/>
        <w:color w:val="FF000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3B3A6E27"/>
    <w:multiLevelType w:val="multilevel"/>
    <w:tmpl w:val="2E4A3624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b/>
        <w:color w:val="FF000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505503B3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686F4650"/>
    <w:multiLevelType w:val="multilevel"/>
    <w:tmpl w:val="0409001D"/>
    <w:styleLink w:val="1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50B"/>
    <w:rsid w:val="00040536"/>
    <w:rsid w:val="00071EBE"/>
    <w:rsid w:val="00087A30"/>
    <w:rsid w:val="0011564A"/>
    <w:rsid w:val="001A19DF"/>
    <w:rsid w:val="002231CD"/>
    <w:rsid w:val="0024111A"/>
    <w:rsid w:val="00297481"/>
    <w:rsid w:val="002A4D2A"/>
    <w:rsid w:val="003C076A"/>
    <w:rsid w:val="00441FEC"/>
    <w:rsid w:val="004F5737"/>
    <w:rsid w:val="005378C5"/>
    <w:rsid w:val="00581F9E"/>
    <w:rsid w:val="00611486"/>
    <w:rsid w:val="0062155D"/>
    <w:rsid w:val="00784D13"/>
    <w:rsid w:val="007905D2"/>
    <w:rsid w:val="00825EEE"/>
    <w:rsid w:val="00860616"/>
    <w:rsid w:val="008C5657"/>
    <w:rsid w:val="0096328C"/>
    <w:rsid w:val="00A14C5D"/>
    <w:rsid w:val="00A16629"/>
    <w:rsid w:val="00A42198"/>
    <w:rsid w:val="00A47173"/>
    <w:rsid w:val="00AD0DCB"/>
    <w:rsid w:val="00B44100"/>
    <w:rsid w:val="00B46CD7"/>
    <w:rsid w:val="00B47EB4"/>
    <w:rsid w:val="00BE2119"/>
    <w:rsid w:val="00C71863"/>
    <w:rsid w:val="00C83AA9"/>
    <w:rsid w:val="00CD735A"/>
    <w:rsid w:val="00CF1138"/>
    <w:rsid w:val="00D10881"/>
    <w:rsid w:val="00D14FD2"/>
    <w:rsid w:val="00D21BEA"/>
    <w:rsid w:val="00D23EC2"/>
    <w:rsid w:val="00D869E1"/>
    <w:rsid w:val="00E129D3"/>
    <w:rsid w:val="00E13158"/>
    <w:rsid w:val="00E5050B"/>
    <w:rsid w:val="00E86AB3"/>
    <w:rsid w:val="00E9390C"/>
    <w:rsid w:val="00EB3666"/>
    <w:rsid w:val="00ED20E3"/>
    <w:rsid w:val="00ED37ED"/>
    <w:rsid w:val="00F03FF5"/>
    <w:rsid w:val="00F52319"/>
    <w:rsid w:val="00F663C3"/>
    <w:rsid w:val="00F80EC3"/>
    <w:rsid w:val="00FB05C3"/>
    <w:rsid w:val="00FC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軟正黑體" w:eastAsia="微軟正黑體" w:hAnsi="微軟正黑體" w:cs="Times New Roman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1564A"/>
    <w:pPr>
      <w:widowControl w:val="0"/>
    </w:pPr>
  </w:style>
  <w:style w:type="paragraph" w:styleId="10">
    <w:name w:val="heading 1"/>
    <w:basedOn w:val="a1"/>
    <w:next w:val="a1"/>
    <w:link w:val="12"/>
    <w:uiPriority w:val="9"/>
    <w:qFormat/>
    <w:rsid w:val="001156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11564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564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">
    <w:name w:val="樣式1"/>
    <w:uiPriority w:val="99"/>
    <w:rsid w:val="00CD735A"/>
    <w:pPr>
      <w:numPr>
        <w:numId w:val="7"/>
      </w:numPr>
    </w:pPr>
  </w:style>
  <w:style w:type="numbering" w:customStyle="1" w:styleId="2">
    <w:name w:val="樣式2"/>
    <w:uiPriority w:val="99"/>
    <w:rsid w:val="0024111A"/>
    <w:pPr>
      <w:numPr>
        <w:numId w:val="2"/>
      </w:numPr>
    </w:pPr>
  </w:style>
  <w:style w:type="numbering" w:customStyle="1" w:styleId="3">
    <w:name w:val="樣式3"/>
    <w:uiPriority w:val="99"/>
    <w:rsid w:val="0024111A"/>
    <w:pPr>
      <w:numPr>
        <w:numId w:val="3"/>
      </w:numPr>
    </w:pPr>
  </w:style>
  <w:style w:type="paragraph" w:styleId="a5">
    <w:name w:val="List Paragraph"/>
    <w:basedOn w:val="a1"/>
    <w:link w:val="a6"/>
    <w:uiPriority w:val="34"/>
    <w:qFormat/>
    <w:rsid w:val="0011564A"/>
    <w:pPr>
      <w:ind w:leftChars="200" w:left="480"/>
    </w:pPr>
  </w:style>
  <w:style w:type="character" w:customStyle="1" w:styleId="a6">
    <w:name w:val="清單段落 字元"/>
    <w:basedOn w:val="a2"/>
    <w:link w:val="a5"/>
    <w:uiPriority w:val="34"/>
    <w:rsid w:val="0011564A"/>
    <w:rPr>
      <w:kern w:val="2"/>
      <w:sz w:val="24"/>
      <w:szCs w:val="22"/>
    </w:rPr>
  </w:style>
  <w:style w:type="paragraph" w:customStyle="1" w:styleId="a0">
    <w:name w:val="多層次清單縮排"/>
    <w:basedOn w:val="a5"/>
    <w:link w:val="a7"/>
    <w:rsid w:val="00FB05C3"/>
    <w:pPr>
      <w:numPr>
        <w:numId w:val="4"/>
      </w:numPr>
      <w:ind w:leftChars="0" w:left="0"/>
    </w:pPr>
  </w:style>
  <w:style w:type="character" w:customStyle="1" w:styleId="a7">
    <w:name w:val="多層次清單縮排 字元"/>
    <w:basedOn w:val="a6"/>
    <w:link w:val="a0"/>
    <w:rsid w:val="00FB05C3"/>
  </w:style>
  <w:style w:type="numbering" w:customStyle="1" w:styleId="a">
    <w:name w:val="多層次清單"/>
    <w:uiPriority w:val="99"/>
    <w:rsid w:val="00CD735A"/>
    <w:pPr>
      <w:numPr>
        <w:numId w:val="5"/>
      </w:numPr>
    </w:pPr>
  </w:style>
  <w:style w:type="numbering" w:customStyle="1" w:styleId="11">
    <w:name w:val="樣式11"/>
    <w:uiPriority w:val="99"/>
    <w:rsid w:val="00CD735A"/>
    <w:pPr>
      <w:numPr>
        <w:numId w:val="6"/>
      </w:numPr>
    </w:pPr>
  </w:style>
  <w:style w:type="character" w:customStyle="1" w:styleId="12">
    <w:name w:val="標題 1 字元"/>
    <w:basedOn w:val="a2"/>
    <w:link w:val="10"/>
    <w:uiPriority w:val="9"/>
    <w:rsid w:val="001156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uiPriority w:val="9"/>
    <w:semiHidden/>
    <w:rsid w:val="0011564A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1">
    <w:name w:val="標題 3 字元"/>
    <w:basedOn w:val="a2"/>
    <w:link w:val="30"/>
    <w:uiPriority w:val="9"/>
    <w:rsid w:val="0011564A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8">
    <w:name w:val="Strong"/>
    <w:basedOn w:val="a2"/>
    <w:uiPriority w:val="22"/>
    <w:qFormat/>
    <w:rsid w:val="0011564A"/>
    <w:rPr>
      <w:b/>
      <w:bCs/>
    </w:rPr>
  </w:style>
  <w:style w:type="paragraph" w:customStyle="1" w:styleId="a9">
    <w:name w:val="問卷內容"/>
    <w:basedOn w:val="a1"/>
    <w:link w:val="aa"/>
    <w:qFormat/>
    <w:rsid w:val="00E13158"/>
    <w:pPr>
      <w:jc w:val="center"/>
    </w:pPr>
    <w:rPr>
      <w:color w:val="000000"/>
      <w:szCs w:val="24"/>
    </w:rPr>
  </w:style>
  <w:style w:type="character" w:customStyle="1" w:styleId="aa">
    <w:name w:val="問卷內容 字元"/>
    <w:basedOn w:val="a2"/>
    <w:link w:val="a9"/>
    <w:rsid w:val="00E13158"/>
    <w:rPr>
      <w:rFonts w:ascii="微軟正黑體" w:eastAsia="微軟正黑體" w:hAnsi="微軟正黑體"/>
      <w:color w:val="000000"/>
      <w:kern w:val="2"/>
      <w:sz w:val="24"/>
      <w:szCs w:val="24"/>
    </w:rPr>
  </w:style>
  <w:style w:type="table" w:styleId="ab">
    <w:name w:val="Table Grid"/>
    <w:basedOn w:val="a3"/>
    <w:uiPriority w:val="59"/>
    <w:rsid w:val="00087A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semiHidden/>
    <w:unhideWhenUsed/>
    <w:rsid w:val="00784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2"/>
    <w:link w:val="ac"/>
    <w:uiPriority w:val="99"/>
    <w:semiHidden/>
    <w:rsid w:val="00784D13"/>
    <w:rPr>
      <w:sz w:val="20"/>
      <w:szCs w:val="20"/>
    </w:rPr>
  </w:style>
  <w:style w:type="paragraph" w:styleId="ae">
    <w:name w:val="footer"/>
    <w:basedOn w:val="a1"/>
    <w:link w:val="af"/>
    <w:uiPriority w:val="99"/>
    <w:semiHidden/>
    <w:unhideWhenUsed/>
    <w:rsid w:val="00784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2"/>
    <w:link w:val="ae"/>
    <w:uiPriority w:val="99"/>
    <w:semiHidden/>
    <w:rsid w:val="00784D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風之雄</dc:creator>
  <cp:lastModifiedBy>風之雄</cp:lastModifiedBy>
  <cp:revision>3</cp:revision>
  <dcterms:created xsi:type="dcterms:W3CDTF">2022-06-21T14:07:00Z</dcterms:created>
  <dcterms:modified xsi:type="dcterms:W3CDTF">2022-06-29T13:40:00Z</dcterms:modified>
</cp:coreProperties>
</file>